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516" w:rsidRPr="002D5765" w:rsidRDefault="00151516" w:rsidP="00151516">
      <w:pPr>
        <w:jc w:val="both"/>
        <w:rPr>
          <w:sz w:val="22"/>
        </w:rPr>
      </w:pPr>
    </w:p>
    <w:p w:rsidR="00151516" w:rsidRPr="002D5765" w:rsidRDefault="00B9559B" w:rsidP="00151516">
      <w:pPr>
        <w:ind w:right="-1"/>
        <w:jc w:val="center"/>
        <w:rPr>
          <w:b/>
          <w:sz w:val="32"/>
          <w:szCs w:val="28"/>
        </w:rPr>
      </w:pPr>
      <w:r w:rsidRPr="002D5765">
        <w:rPr>
          <w:b/>
          <w:sz w:val="32"/>
          <w:szCs w:val="28"/>
        </w:rPr>
        <w:t>EL MINISTERIO DE DEFENSA DECLARA LA IN</w:t>
      </w:r>
      <w:r w:rsidR="00043379" w:rsidRPr="002D5765">
        <w:rPr>
          <w:b/>
          <w:sz w:val="32"/>
          <w:szCs w:val="28"/>
        </w:rPr>
        <w:t>CAPACIDAD</w:t>
      </w:r>
      <w:r w:rsidRPr="002D5765">
        <w:rPr>
          <w:b/>
          <w:sz w:val="32"/>
          <w:szCs w:val="28"/>
        </w:rPr>
        <w:t xml:space="preserve"> DE</w:t>
      </w:r>
      <w:r w:rsidR="00583095" w:rsidRPr="002D5765">
        <w:rPr>
          <w:b/>
          <w:sz w:val="32"/>
          <w:szCs w:val="28"/>
        </w:rPr>
        <w:t xml:space="preserve"> UN MILITAR AFECTADO POR EL AMI</w:t>
      </w:r>
      <w:r w:rsidRPr="002D5765">
        <w:rPr>
          <w:b/>
          <w:sz w:val="32"/>
          <w:szCs w:val="28"/>
        </w:rPr>
        <w:t>A</w:t>
      </w:r>
      <w:r w:rsidR="00583095" w:rsidRPr="002D5765">
        <w:rPr>
          <w:b/>
          <w:sz w:val="32"/>
          <w:szCs w:val="28"/>
        </w:rPr>
        <w:t>N</w:t>
      </w:r>
      <w:r w:rsidRPr="002D5765">
        <w:rPr>
          <w:b/>
          <w:sz w:val="32"/>
          <w:szCs w:val="28"/>
        </w:rPr>
        <w:t>TO INHALADO EN BUQUES DEL ESTADO</w:t>
      </w:r>
    </w:p>
    <w:p w:rsidR="00151516" w:rsidRPr="002D5765" w:rsidRDefault="00151516" w:rsidP="00151516">
      <w:pPr>
        <w:ind w:right="-1"/>
        <w:jc w:val="both"/>
        <w:rPr>
          <w:szCs w:val="28"/>
        </w:rPr>
      </w:pPr>
    </w:p>
    <w:p w:rsidR="00151516" w:rsidRPr="002D5765" w:rsidRDefault="00F011FC" w:rsidP="00151516">
      <w:pPr>
        <w:numPr>
          <w:ilvl w:val="0"/>
          <w:numId w:val="5"/>
        </w:numPr>
        <w:ind w:right="-1"/>
        <w:jc w:val="both"/>
        <w:rPr>
          <w:b/>
          <w:szCs w:val="28"/>
        </w:rPr>
      </w:pPr>
      <w:r w:rsidRPr="002D5765">
        <w:rPr>
          <w:b/>
          <w:szCs w:val="28"/>
        </w:rPr>
        <w:t>El alférez de navío del Cuerpo General de la Armada padece cáncer de pleura, patología que guarda relación de causalidad con el servicio que prestó entre los años 1968 y 2000</w:t>
      </w:r>
      <w:r w:rsidR="00043379" w:rsidRPr="002D5765">
        <w:rPr>
          <w:b/>
          <w:szCs w:val="28"/>
        </w:rPr>
        <w:t xml:space="preserve"> </w:t>
      </w:r>
    </w:p>
    <w:p w:rsidR="00043379" w:rsidRPr="002D5765" w:rsidRDefault="00043379" w:rsidP="00043379">
      <w:pPr>
        <w:ind w:left="720" w:right="-1"/>
        <w:jc w:val="both"/>
        <w:rPr>
          <w:b/>
          <w:szCs w:val="28"/>
        </w:rPr>
      </w:pPr>
    </w:p>
    <w:p w:rsidR="00151516" w:rsidRPr="002D5765" w:rsidRDefault="0090002E" w:rsidP="00151516">
      <w:pPr>
        <w:numPr>
          <w:ilvl w:val="0"/>
          <w:numId w:val="5"/>
        </w:numPr>
        <w:ind w:right="-1"/>
        <w:jc w:val="both"/>
        <w:rPr>
          <w:szCs w:val="28"/>
        </w:rPr>
      </w:pPr>
      <w:r w:rsidRPr="002D5765">
        <w:rPr>
          <w:b/>
          <w:szCs w:val="28"/>
        </w:rPr>
        <w:t>A partir de ahora se retomará la demanda que el despacho de abogados titular del caso ya interpuso contra el Estado por daños y perjuic</w:t>
      </w:r>
      <w:r w:rsidR="00EB61C2" w:rsidRPr="002D5765">
        <w:rPr>
          <w:b/>
          <w:szCs w:val="28"/>
        </w:rPr>
        <w:t>ios</w:t>
      </w:r>
      <w:r w:rsidR="0089283C">
        <w:rPr>
          <w:b/>
          <w:szCs w:val="28"/>
        </w:rPr>
        <w:t>. También se ha reclamado indemnización al Fondo de Compensación estadounidense</w:t>
      </w:r>
    </w:p>
    <w:p w:rsidR="00133F7E" w:rsidRPr="002D5765" w:rsidRDefault="00133F7E" w:rsidP="00133F7E">
      <w:pPr>
        <w:ind w:right="-1"/>
        <w:jc w:val="both"/>
        <w:rPr>
          <w:szCs w:val="28"/>
        </w:rPr>
      </w:pPr>
    </w:p>
    <w:p w:rsidR="00133F7E" w:rsidRPr="002D5765" w:rsidRDefault="0089283C" w:rsidP="00151516">
      <w:pPr>
        <w:numPr>
          <w:ilvl w:val="0"/>
          <w:numId w:val="5"/>
        </w:numPr>
        <w:ind w:right="-1"/>
        <w:jc w:val="both"/>
        <w:rPr>
          <w:szCs w:val="28"/>
        </w:rPr>
      </w:pPr>
      <w:r>
        <w:rPr>
          <w:b/>
          <w:szCs w:val="28"/>
        </w:rPr>
        <w:t>La Federación Fedavic</w:t>
      </w:r>
      <w:r w:rsidR="0060023A">
        <w:rPr>
          <w:b/>
          <w:szCs w:val="28"/>
        </w:rPr>
        <w:t xml:space="preserve">a </w:t>
      </w:r>
      <w:r w:rsidR="00A22D97">
        <w:rPr>
          <w:b/>
          <w:szCs w:val="28"/>
        </w:rPr>
        <w:t>representa en España a 60.000 afectados</w:t>
      </w:r>
      <w:r w:rsidR="0060023A">
        <w:rPr>
          <w:b/>
          <w:szCs w:val="28"/>
        </w:rPr>
        <w:t xml:space="preserve"> y se</w:t>
      </w:r>
      <w:r w:rsidR="00107958">
        <w:rPr>
          <w:b/>
          <w:szCs w:val="28"/>
        </w:rPr>
        <w:t xml:space="preserve"> calcula </w:t>
      </w:r>
      <w:r>
        <w:rPr>
          <w:b/>
          <w:szCs w:val="28"/>
        </w:rPr>
        <w:t>puede haber</w:t>
      </w:r>
      <w:r w:rsidR="00107958">
        <w:rPr>
          <w:b/>
          <w:szCs w:val="28"/>
        </w:rPr>
        <w:t xml:space="preserve"> unos 80.000 </w:t>
      </w:r>
      <w:r w:rsidR="00A22D97">
        <w:rPr>
          <w:b/>
          <w:szCs w:val="28"/>
        </w:rPr>
        <w:t>damnificados</w:t>
      </w:r>
      <w:r w:rsidR="00366E31">
        <w:rPr>
          <w:b/>
          <w:szCs w:val="28"/>
        </w:rPr>
        <w:t xml:space="preserve"> a nivel nacional</w:t>
      </w:r>
    </w:p>
    <w:p w:rsidR="00EB61C2" w:rsidRPr="002D5765" w:rsidRDefault="00EB61C2" w:rsidP="00EB61C2">
      <w:pPr>
        <w:ind w:right="-1"/>
        <w:jc w:val="both"/>
        <w:rPr>
          <w:szCs w:val="28"/>
        </w:rPr>
      </w:pPr>
    </w:p>
    <w:p w:rsidR="00EB61C2" w:rsidRPr="002D5765" w:rsidRDefault="00EB61C2" w:rsidP="00EB61C2">
      <w:pPr>
        <w:ind w:right="-1"/>
        <w:jc w:val="both"/>
        <w:rPr>
          <w:szCs w:val="28"/>
        </w:rPr>
      </w:pPr>
    </w:p>
    <w:p w:rsidR="002D5765" w:rsidRPr="002D5765" w:rsidRDefault="00116E99" w:rsidP="00151516">
      <w:pPr>
        <w:ind w:right="-1"/>
        <w:jc w:val="both"/>
        <w:rPr>
          <w:sz w:val="22"/>
          <w:szCs w:val="28"/>
        </w:rPr>
      </w:pPr>
      <w:r>
        <w:rPr>
          <w:i/>
          <w:sz w:val="22"/>
          <w:szCs w:val="28"/>
        </w:rPr>
        <w:t>Vigo, 15</w:t>
      </w:r>
      <w:r w:rsidR="00151516" w:rsidRPr="002D5765">
        <w:rPr>
          <w:i/>
          <w:sz w:val="22"/>
          <w:szCs w:val="28"/>
        </w:rPr>
        <w:t xml:space="preserve"> de </w:t>
      </w:r>
      <w:r w:rsidR="00EB61C2" w:rsidRPr="002D5765">
        <w:rPr>
          <w:i/>
          <w:sz w:val="22"/>
          <w:szCs w:val="28"/>
        </w:rPr>
        <w:t>marzo de 2011</w:t>
      </w:r>
      <w:r w:rsidR="00151516" w:rsidRPr="002D5765">
        <w:rPr>
          <w:i/>
          <w:sz w:val="22"/>
          <w:szCs w:val="28"/>
        </w:rPr>
        <w:t>.-</w:t>
      </w:r>
      <w:r w:rsidR="00151516" w:rsidRPr="002D5765">
        <w:rPr>
          <w:sz w:val="22"/>
          <w:szCs w:val="28"/>
        </w:rPr>
        <w:t xml:space="preserve"> </w:t>
      </w:r>
      <w:r w:rsidR="00E12883" w:rsidRPr="002D5765">
        <w:rPr>
          <w:sz w:val="22"/>
          <w:szCs w:val="28"/>
        </w:rPr>
        <w:t>El Ministerio de Defensa ha otorgado la insuficiencia de condiciones psicofísicas a un alférez de navío</w:t>
      </w:r>
      <w:r w:rsidR="00823087" w:rsidRPr="002D5765">
        <w:rPr>
          <w:sz w:val="22"/>
          <w:szCs w:val="28"/>
        </w:rPr>
        <w:t xml:space="preserve"> </w:t>
      </w:r>
      <w:r w:rsidR="00FE2089" w:rsidRPr="002D5765">
        <w:rPr>
          <w:sz w:val="22"/>
          <w:szCs w:val="28"/>
        </w:rPr>
        <w:t xml:space="preserve">de la Armada Española </w:t>
      </w:r>
      <w:r w:rsidR="00823087" w:rsidRPr="002D5765">
        <w:rPr>
          <w:sz w:val="22"/>
          <w:szCs w:val="28"/>
        </w:rPr>
        <w:t xml:space="preserve">por considerar que el cáncer de pleura que se le ha diagnosticado está relacionado con la inhalación de amianto en los barcos del Estado en que desarrolló su vida profesional. </w:t>
      </w:r>
      <w:r w:rsidR="00731E93" w:rsidRPr="002D5765">
        <w:rPr>
          <w:sz w:val="22"/>
          <w:szCs w:val="28"/>
        </w:rPr>
        <w:t>El alférez afectado trabajó en la reparación de barcos españoles desde el año 19</w:t>
      </w:r>
      <w:r w:rsidR="00F0084F" w:rsidRPr="002D5765">
        <w:rPr>
          <w:sz w:val="22"/>
          <w:szCs w:val="28"/>
        </w:rPr>
        <w:t xml:space="preserve">68. </w:t>
      </w:r>
    </w:p>
    <w:p w:rsidR="002D5765" w:rsidRPr="002D5765" w:rsidRDefault="002D5765" w:rsidP="00151516">
      <w:pPr>
        <w:ind w:right="-1"/>
        <w:jc w:val="both"/>
        <w:rPr>
          <w:sz w:val="22"/>
          <w:szCs w:val="28"/>
        </w:rPr>
      </w:pPr>
    </w:p>
    <w:p w:rsidR="002D5765" w:rsidRPr="002D5765" w:rsidRDefault="002D5765" w:rsidP="00151516">
      <w:pPr>
        <w:ind w:right="-1"/>
        <w:jc w:val="both"/>
        <w:rPr>
          <w:sz w:val="22"/>
          <w:szCs w:val="28"/>
        </w:rPr>
      </w:pPr>
      <w:r w:rsidRPr="002D5765">
        <w:rPr>
          <w:sz w:val="22"/>
          <w:szCs w:val="28"/>
        </w:rPr>
        <w:t xml:space="preserve">A consecuencia de la enfermedad, fue intervenido en 2009, extirpándosele el pulmón derecho en una operación a vida o muerte de la que actualmente continúa recuperándose. </w:t>
      </w:r>
    </w:p>
    <w:p w:rsidR="00FE2089" w:rsidRPr="002D5765" w:rsidRDefault="00FE2089" w:rsidP="00151516">
      <w:pPr>
        <w:ind w:right="-1"/>
        <w:jc w:val="both"/>
        <w:rPr>
          <w:sz w:val="22"/>
          <w:szCs w:val="28"/>
        </w:rPr>
      </w:pPr>
    </w:p>
    <w:p w:rsidR="002D5765" w:rsidRPr="002D5765" w:rsidRDefault="00F0084F" w:rsidP="00731E93">
      <w:pPr>
        <w:ind w:right="-1"/>
        <w:jc w:val="both"/>
        <w:rPr>
          <w:sz w:val="22"/>
          <w:szCs w:val="28"/>
        </w:rPr>
      </w:pPr>
      <w:r w:rsidRPr="002D5765">
        <w:rPr>
          <w:sz w:val="22"/>
          <w:szCs w:val="28"/>
        </w:rPr>
        <w:t>El militar, natural de Aguasantas (Pontevedra)</w:t>
      </w:r>
      <w:r w:rsidR="00731E93" w:rsidRPr="002D5765">
        <w:rPr>
          <w:sz w:val="22"/>
          <w:szCs w:val="28"/>
        </w:rPr>
        <w:t xml:space="preserve">, prestó servicio en diversos barcos de la Armada Española como marinero, cabo, cabo 1º y puestos de suboficial en la especialidad de Mecánica. Desde 1968 y hasta el año 2000 su labor profesional estuvo a bordo de navíos como el Alcalá Galiano, Guadalhorce, </w:t>
      </w:r>
      <w:r w:rsidR="00331B16" w:rsidRPr="002D5765">
        <w:rPr>
          <w:sz w:val="22"/>
          <w:szCs w:val="28"/>
        </w:rPr>
        <w:t xml:space="preserve">Roger de </w:t>
      </w:r>
      <w:r w:rsidRPr="002D5765">
        <w:rPr>
          <w:sz w:val="22"/>
          <w:szCs w:val="28"/>
        </w:rPr>
        <w:t>Lauria</w:t>
      </w:r>
      <w:r w:rsidR="00331B16" w:rsidRPr="002D5765">
        <w:rPr>
          <w:sz w:val="22"/>
          <w:szCs w:val="28"/>
        </w:rPr>
        <w:t xml:space="preserve"> o el Liniers, entre otros. Un total de 9 barcos en un período ininterrumpido de 32 años; tiempo en el que </w:t>
      </w:r>
      <w:r w:rsidRPr="002D5765">
        <w:rPr>
          <w:sz w:val="22"/>
          <w:szCs w:val="28"/>
        </w:rPr>
        <w:t>estuvo</w:t>
      </w:r>
      <w:r w:rsidR="00331B16" w:rsidRPr="002D5765">
        <w:rPr>
          <w:sz w:val="22"/>
          <w:szCs w:val="28"/>
        </w:rPr>
        <w:t xml:space="preserve"> expuesto al amianto, material muy utilizado </w:t>
      </w:r>
      <w:r w:rsidR="0074274A" w:rsidRPr="002D5765">
        <w:rPr>
          <w:sz w:val="22"/>
          <w:szCs w:val="28"/>
        </w:rPr>
        <w:t>para la construcción y reparación de barcos en</w:t>
      </w:r>
      <w:r w:rsidR="00984A7A" w:rsidRPr="002D5765">
        <w:rPr>
          <w:sz w:val="22"/>
          <w:szCs w:val="28"/>
        </w:rPr>
        <w:t>tre las décadas de los años 60,</w:t>
      </w:r>
      <w:r w:rsidR="0074274A" w:rsidRPr="002D5765">
        <w:rPr>
          <w:sz w:val="22"/>
          <w:szCs w:val="28"/>
        </w:rPr>
        <w:t xml:space="preserve"> 70</w:t>
      </w:r>
      <w:r w:rsidR="00984A7A" w:rsidRPr="002D5765">
        <w:rPr>
          <w:sz w:val="22"/>
          <w:szCs w:val="28"/>
        </w:rPr>
        <w:t xml:space="preserve"> y 80</w:t>
      </w:r>
      <w:r w:rsidR="0074274A" w:rsidRPr="002D5765">
        <w:rPr>
          <w:sz w:val="22"/>
          <w:szCs w:val="28"/>
        </w:rPr>
        <w:t>.</w:t>
      </w:r>
    </w:p>
    <w:p w:rsidR="00731E93" w:rsidRPr="002D5765" w:rsidRDefault="00731E93" w:rsidP="00731E93">
      <w:pPr>
        <w:ind w:right="-1"/>
        <w:jc w:val="both"/>
        <w:rPr>
          <w:sz w:val="22"/>
          <w:szCs w:val="28"/>
        </w:rPr>
      </w:pPr>
      <w:r w:rsidRPr="002D5765">
        <w:rPr>
          <w:sz w:val="22"/>
          <w:szCs w:val="28"/>
        </w:rPr>
        <w:t xml:space="preserve"> </w:t>
      </w:r>
    </w:p>
    <w:p w:rsidR="00517E09" w:rsidRPr="002D5765" w:rsidRDefault="00984A7A" w:rsidP="00151516">
      <w:pPr>
        <w:ind w:right="-1"/>
        <w:jc w:val="both"/>
        <w:rPr>
          <w:sz w:val="22"/>
          <w:szCs w:val="28"/>
        </w:rPr>
      </w:pPr>
      <w:r w:rsidRPr="002D5765">
        <w:rPr>
          <w:sz w:val="22"/>
          <w:szCs w:val="28"/>
        </w:rPr>
        <w:t>De hecho, s</w:t>
      </w:r>
      <w:r w:rsidR="00517E09" w:rsidRPr="002D5765">
        <w:rPr>
          <w:sz w:val="22"/>
          <w:szCs w:val="28"/>
        </w:rPr>
        <w:t xml:space="preserve">egún </w:t>
      </w:r>
      <w:r w:rsidR="000A1D3E" w:rsidRPr="002D5765">
        <w:rPr>
          <w:sz w:val="22"/>
          <w:szCs w:val="28"/>
        </w:rPr>
        <w:t xml:space="preserve">dice </w:t>
      </w:r>
      <w:r w:rsidR="00517E09" w:rsidRPr="002D5765">
        <w:rPr>
          <w:sz w:val="22"/>
          <w:szCs w:val="28"/>
        </w:rPr>
        <w:t xml:space="preserve">un informe emitido por la Jefatura del Ramo Técnico de Plataformas Navales de la Dirección de Construcciones Navales (Jefatura de Apoyo Logístico de la Armada), </w:t>
      </w:r>
      <w:r w:rsidR="003313BE" w:rsidRPr="002D5765">
        <w:rPr>
          <w:sz w:val="22"/>
          <w:szCs w:val="28"/>
        </w:rPr>
        <w:t xml:space="preserve">debido a la tecnología utilizada durante </w:t>
      </w:r>
      <w:r w:rsidR="00517E09" w:rsidRPr="002D5765">
        <w:rPr>
          <w:sz w:val="22"/>
          <w:szCs w:val="28"/>
        </w:rPr>
        <w:t>los años en que se diseñaron y construyeron los barcos en los que trabajó el alférez afectado</w:t>
      </w:r>
      <w:r w:rsidR="00FE2089" w:rsidRPr="002D5765">
        <w:rPr>
          <w:sz w:val="22"/>
          <w:szCs w:val="28"/>
        </w:rPr>
        <w:t>, se sospecha que se</w:t>
      </w:r>
      <w:r w:rsidR="003313BE" w:rsidRPr="002D5765">
        <w:rPr>
          <w:sz w:val="22"/>
          <w:szCs w:val="28"/>
        </w:rPr>
        <w:t xml:space="preserve"> utiliz</w:t>
      </w:r>
      <w:r w:rsidR="00FE2089" w:rsidRPr="002D5765">
        <w:rPr>
          <w:sz w:val="22"/>
          <w:szCs w:val="28"/>
        </w:rPr>
        <w:t>ó</w:t>
      </w:r>
      <w:r w:rsidR="00517E09" w:rsidRPr="002D5765">
        <w:rPr>
          <w:sz w:val="22"/>
          <w:szCs w:val="28"/>
        </w:rPr>
        <w:t xml:space="preserve"> amianto para el aislamiento y </w:t>
      </w:r>
      <w:r w:rsidR="003313BE" w:rsidRPr="002D5765">
        <w:rPr>
          <w:sz w:val="22"/>
          <w:szCs w:val="28"/>
        </w:rPr>
        <w:t>forros</w:t>
      </w:r>
      <w:r w:rsidR="00517E09" w:rsidRPr="002D5765">
        <w:rPr>
          <w:sz w:val="22"/>
          <w:szCs w:val="28"/>
        </w:rPr>
        <w:t>.</w:t>
      </w:r>
    </w:p>
    <w:p w:rsidR="00517E09" w:rsidRPr="002D5765" w:rsidRDefault="00517E09" w:rsidP="00151516">
      <w:pPr>
        <w:ind w:right="-1"/>
        <w:jc w:val="both"/>
        <w:rPr>
          <w:sz w:val="22"/>
          <w:szCs w:val="28"/>
        </w:rPr>
      </w:pPr>
    </w:p>
    <w:p w:rsidR="00984A7A" w:rsidRPr="002D5765" w:rsidRDefault="00984A7A" w:rsidP="00151516">
      <w:pPr>
        <w:ind w:right="-1"/>
        <w:jc w:val="both"/>
        <w:rPr>
          <w:sz w:val="22"/>
          <w:szCs w:val="28"/>
        </w:rPr>
      </w:pPr>
      <w:r w:rsidRPr="002D5765">
        <w:rPr>
          <w:sz w:val="22"/>
          <w:szCs w:val="28"/>
        </w:rPr>
        <w:t xml:space="preserve">Con su declaración de incapacidad, el Ministerio de Defensa reconoce que la enfermedad del alférez es acaecida en acto de servicio, es decir, como consecuencia del trabajo que desarrolló en los barcos. Reconocida la incapacidad profesional acaecida en acto de servicio, el despacho de abogados titular del caso (Oria, Peña, Pajares y Asociados, unidos al bufete estadounidense Seeger&amp;Weiss) </w:t>
      </w:r>
      <w:r w:rsidR="000A1D3E" w:rsidRPr="002D5765">
        <w:rPr>
          <w:sz w:val="22"/>
          <w:szCs w:val="28"/>
        </w:rPr>
        <w:t>retomará</w:t>
      </w:r>
      <w:r w:rsidR="006D5FD7" w:rsidRPr="002D5765">
        <w:rPr>
          <w:sz w:val="22"/>
          <w:szCs w:val="28"/>
        </w:rPr>
        <w:t xml:space="preserve"> el curso de la demanda que ya se interpuso en su día pero </w:t>
      </w:r>
      <w:r w:rsidR="000A1D3E" w:rsidRPr="002D5765">
        <w:rPr>
          <w:sz w:val="22"/>
          <w:szCs w:val="28"/>
        </w:rPr>
        <w:t xml:space="preserve">que </w:t>
      </w:r>
      <w:r w:rsidR="006D5FD7" w:rsidRPr="002D5765">
        <w:rPr>
          <w:sz w:val="22"/>
          <w:szCs w:val="28"/>
        </w:rPr>
        <w:t>fue paralizada a expensas del pronunciamiento ahora emitido por el Ministerio de Defensa</w:t>
      </w:r>
    </w:p>
    <w:p w:rsidR="00151516" w:rsidRPr="002D5765" w:rsidRDefault="00151516" w:rsidP="00151516">
      <w:pPr>
        <w:jc w:val="both"/>
        <w:rPr>
          <w:sz w:val="22"/>
        </w:rPr>
      </w:pPr>
    </w:p>
    <w:p w:rsidR="007B4DDD" w:rsidRDefault="00151516" w:rsidP="007B4DDD">
      <w:pPr>
        <w:jc w:val="both"/>
        <w:rPr>
          <w:sz w:val="22"/>
          <w:szCs w:val="28"/>
        </w:rPr>
      </w:pPr>
      <w:r w:rsidRPr="002D5765">
        <w:rPr>
          <w:sz w:val="22"/>
          <w:szCs w:val="28"/>
        </w:rPr>
        <w:t xml:space="preserve">Andrea Peiró, abogada demandante y representante del ciudadano </w:t>
      </w:r>
      <w:r w:rsidR="0074274A" w:rsidRPr="002D5765">
        <w:rPr>
          <w:sz w:val="22"/>
          <w:szCs w:val="28"/>
        </w:rPr>
        <w:t>vigués</w:t>
      </w:r>
      <w:r w:rsidRPr="002D5765">
        <w:rPr>
          <w:sz w:val="22"/>
          <w:szCs w:val="28"/>
        </w:rPr>
        <w:t xml:space="preserve"> </w:t>
      </w:r>
      <w:r w:rsidR="0074274A" w:rsidRPr="002D5765">
        <w:rPr>
          <w:sz w:val="22"/>
          <w:szCs w:val="28"/>
        </w:rPr>
        <w:t>explica que</w:t>
      </w:r>
      <w:r w:rsidR="006D5FD7" w:rsidRPr="002D5765">
        <w:rPr>
          <w:sz w:val="22"/>
          <w:szCs w:val="28"/>
        </w:rPr>
        <w:t xml:space="preserve"> el amianto </w:t>
      </w:r>
      <w:r w:rsidR="00102E56" w:rsidRPr="002D5765">
        <w:rPr>
          <w:sz w:val="22"/>
          <w:szCs w:val="28"/>
        </w:rPr>
        <w:t>“</w:t>
      </w:r>
      <w:r w:rsidR="006D5FD7" w:rsidRPr="002D5765">
        <w:rPr>
          <w:i/>
          <w:sz w:val="22"/>
          <w:szCs w:val="28"/>
        </w:rPr>
        <w:t>es un material altamente peligroso</w:t>
      </w:r>
      <w:r w:rsidR="00102E56" w:rsidRPr="002D5765">
        <w:rPr>
          <w:i/>
          <w:sz w:val="22"/>
          <w:szCs w:val="28"/>
        </w:rPr>
        <w:t xml:space="preserve"> y debido a que no es muy compacto puede desprenderse, </w:t>
      </w:r>
      <w:r w:rsidR="00102E56" w:rsidRPr="002D5765">
        <w:rPr>
          <w:i/>
          <w:sz w:val="22"/>
          <w:szCs w:val="28"/>
        </w:rPr>
        <w:lastRenderedPageBreak/>
        <w:t>esparcirse en el aire y ser inhalado, con un período de latencia de la enfermedad de entre 20 y 30 años</w:t>
      </w:r>
      <w:r w:rsidR="00102E56" w:rsidRPr="002D5765">
        <w:rPr>
          <w:sz w:val="22"/>
          <w:szCs w:val="28"/>
        </w:rPr>
        <w:t>”.</w:t>
      </w:r>
    </w:p>
    <w:p w:rsidR="00107958" w:rsidRDefault="00107958" w:rsidP="007B4DDD">
      <w:pPr>
        <w:jc w:val="both"/>
        <w:rPr>
          <w:sz w:val="22"/>
          <w:szCs w:val="28"/>
        </w:rPr>
      </w:pPr>
    </w:p>
    <w:p w:rsidR="00107958" w:rsidRDefault="00107958" w:rsidP="007B4DDD">
      <w:pPr>
        <w:jc w:val="both"/>
        <w:rPr>
          <w:sz w:val="22"/>
          <w:szCs w:val="28"/>
        </w:rPr>
      </w:pPr>
      <w:r>
        <w:rPr>
          <w:sz w:val="22"/>
          <w:szCs w:val="28"/>
        </w:rPr>
        <w:t xml:space="preserve">Además, el despacho de abogados que lleva el caso </w:t>
      </w:r>
      <w:r w:rsidR="004A5BD1">
        <w:rPr>
          <w:sz w:val="22"/>
          <w:szCs w:val="28"/>
        </w:rPr>
        <w:t>ya ha presentado también una reclamación ante el Fondo de Compensación de Estados Unidos ya también se considera responsables de las consecuencias de la exposición al amianto a las empresas americanas que exportaron dicho material.</w:t>
      </w:r>
    </w:p>
    <w:p w:rsidR="003246C7" w:rsidRDefault="003246C7" w:rsidP="007B4DDD">
      <w:pPr>
        <w:jc w:val="both"/>
        <w:rPr>
          <w:sz w:val="22"/>
          <w:szCs w:val="28"/>
        </w:rPr>
      </w:pPr>
    </w:p>
    <w:p w:rsidR="003246C7" w:rsidRPr="003246C7" w:rsidRDefault="003246C7" w:rsidP="007B4DDD">
      <w:pPr>
        <w:jc w:val="both"/>
        <w:rPr>
          <w:b/>
          <w:sz w:val="22"/>
          <w:szCs w:val="28"/>
          <w:u w:val="single"/>
        </w:rPr>
      </w:pPr>
      <w:r w:rsidRPr="003246C7">
        <w:rPr>
          <w:b/>
          <w:sz w:val="22"/>
          <w:szCs w:val="28"/>
          <w:u w:val="single"/>
        </w:rPr>
        <w:t>80.000 afectados en España</w:t>
      </w:r>
    </w:p>
    <w:p w:rsidR="00925A43" w:rsidRPr="00925A43" w:rsidRDefault="00925A43" w:rsidP="00102E56">
      <w:pPr>
        <w:jc w:val="both"/>
        <w:rPr>
          <w:sz w:val="10"/>
          <w:szCs w:val="10"/>
        </w:rPr>
      </w:pPr>
    </w:p>
    <w:p w:rsidR="00107958" w:rsidRDefault="00311E7C" w:rsidP="00102E56">
      <w:pPr>
        <w:jc w:val="both"/>
        <w:rPr>
          <w:rFonts w:ascii="Arial" w:hAnsi="Arial" w:cs="Arial"/>
          <w:sz w:val="26"/>
          <w:szCs w:val="26"/>
        </w:rPr>
      </w:pPr>
      <w:r>
        <w:rPr>
          <w:sz w:val="22"/>
          <w:szCs w:val="28"/>
        </w:rPr>
        <w:t xml:space="preserve">Se calcula que en España puede llegar a haber más de 80.000 afectados por amianto, de los que 3.500 se encontraría en Galicia, la mayoría en el entorno de Ferrol. </w:t>
      </w:r>
      <w:r w:rsidR="002D5765">
        <w:rPr>
          <w:sz w:val="22"/>
          <w:szCs w:val="28"/>
        </w:rPr>
        <w:t xml:space="preserve">La </w:t>
      </w:r>
      <w:r>
        <w:rPr>
          <w:sz w:val="22"/>
          <w:szCs w:val="28"/>
        </w:rPr>
        <w:t>A</w:t>
      </w:r>
      <w:r w:rsidR="002D5765">
        <w:rPr>
          <w:sz w:val="22"/>
          <w:szCs w:val="28"/>
        </w:rPr>
        <w:t xml:space="preserve">sociación </w:t>
      </w:r>
      <w:r>
        <w:rPr>
          <w:sz w:val="22"/>
          <w:szCs w:val="28"/>
        </w:rPr>
        <w:t xml:space="preserve">Galega de Víctimas do Amianto, </w:t>
      </w:r>
      <w:r w:rsidR="002D5765">
        <w:rPr>
          <w:sz w:val="22"/>
          <w:szCs w:val="28"/>
        </w:rPr>
        <w:t>Agavida</w:t>
      </w:r>
      <w:r>
        <w:rPr>
          <w:sz w:val="22"/>
          <w:szCs w:val="28"/>
        </w:rPr>
        <w:t>, con 655 socios, trabaja por conseguir compensaciones justas así como mejoras en la atención sanitaria de los afectados por amianto. Según el presidente de este organismo, Cristóbal Carneiro, “</w:t>
      </w:r>
      <w:r w:rsidRPr="007B4DDD">
        <w:rPr>
          <w:i/>
          <w:sz w:val="22"/>
          <w:szCs w:val="28"/>
        </w:rPr>
        <w:t>hay todavía un censo de unas 20.000 personas que han trabajado en pequeñas empresas y compañías auxiliares de sectores como la construcción, ferrocarriles, etcétera</w:t>
      </w:r>
      <w:r w:rsidR="00107958">
        <w:rPr>
          <w:i/>
          <w:sz w:val="22"/>
          <w:szCs w:val="28"/>
        </w:rPr>
        <w:t>”</w:t>
      </w:r>
      <w:r w:rsidR="007B4DDD">
        <w:rPr>
          <w:sz w:val="22"/>
          <w:szCs w:val="28"/>
        </w:rPr>
        <w:t>.</w:t>
      </w:r>
      <w:r w:rsidR="00107958">
        <w:rPr>
          <w:sz w:val="22"/>
          <w:szCs w:val="28"/>
        </w:rPr>
        <w:t xml:space="preserve"> A nivel nacional, la Federación de Asociaciones de Afectados y Colectivos del Amianto, Fedavica, aglutina a unas 60.000 personas, por lo que se calcula que podría haber unos 80.000 afectados en España.</w:t>
      </w:r>
    </w:p>
    <w:p w:rsidR="007B4DDD" w:rsidRDefault="00107958" w:rsidP="00102E56">
      <w:pPr>
        <w:jc w:val="both"/>
        <w:rPr>
          <w:sz w:val="22"/>
          <w:szCs w:val="28"/>
        </w:rPr>
      </w:pPr>
      <w:r>
        <w:rPr>
          <w:sz w:val="22"/>
          <w:szCs w:val="28"/>
        </w:rPr>
        <w:t xml:space="preserve"> </w:t>
      </w:r>
    </w:p>
    <w:p w:rsidR="007B4DDD" w:rsidRDefault="007B4DDD" w:rsidP="00102E56">
      <w:pPr>
        <w:jc w:val="both"/>
        <w:rPr>
          <w:sz w:val="22"/>
          <w:szCs w:val="28"/>
        </w:rPr>
      </w:pPr>
      <w:r>
        <w:rPr>
          <w:sz w:val="22"/>
          <w:szCs w:val="28"/>
        </w:rPr>
        <w:t>Agavida considera que el colectivo de los militares que han prestado su servicio a bordo de barcos “</w:t>
      </w:r>
      <w:r w:rsidRPr="001D46BC">
        <w:rPr>
          <w:i/>
          <w:sz w:val="22"/>
          <w:szCs w:val="28"/>
        </w:rPr>
        <w:t>es uno de los más desprotegidos</w:t>
      </w:r>
      <w:r>
        <w:rPr>
          <w:sz w:val="22"/>
          <w:szCs w:val="28"/>
        </w:rPr>
        <w:t xml:space="preserve">”. De hecho, esta asociación </w:t>
      </w:r>
      <w:r w:rsidR="00FA6F40">
        <w:rPr>
          <w:sz w:val="22"/>
          <w:szCs w:val="28"/>
        </w:rPr>
        <w:t>ya formuló una pregunta ante el Congreso de los Diputados a través del Bolque Nacionalista Galego “</w:t>
      </w:r>
      <w:r w:rsidR="00FA6F40" w:rsidRPr="001D46BC">
        <w:rPr>
          <w:i/>
          <w:sz w:val="22"/>
          <w:szCs w:val="28"/>
        </w:rPr>
        <w:t xml:space="preserve">para saber </w:t>
      </w:r>
      <w:r w:rsidR="001D46BC">
        <w:rPr>
          <w:i/>
          <w:sz w:val="22"/>
          <w:szCs w:val="28"/>
        </w:rPr>
        <w:t xml:space="preserve">por </w:t>
      </w:r>
      <w:r w:rsidR="00FA6F40" w:rsidRPr="001D46BC">
        <w:rPr>
          <w:i/>
          <w:sz w:val="22"/>
          <w:szCs w:val="28"/>
        </w:rPr>
        <w:t>qué este colectivo no pasa los reconocimientos sanitarios pertinentes</w:t>
      </w:r>
      <w:r w:rsidR="00FA6F40">
        <w:rPr>
          <w:sz w:val="22"/>
          <w:szCs w:val="28"/>
        </w:rPr>
        <w:t>”. Según dice Cristóbal Carneiro “nos respondieron que sí pasan reconocimientos</w:t>
      </w:r>
      <w:r w:rsidR="00107958">
        <w:rPr>
          <w:sz w:val="22"/>
          <w:szCs w:val="28"/>
        </w:rPr>
        <w:t>”</w:t>
      </w:r>
      <w:r w:rsidR="00FA6F40">
        <w:rPr>
          <w:sz w:val="22"/>
          <w:szCs w:val="28"/>
        </w:rPr>
        <w:t xml:space="preserve">, pero </w:t>
      </w:r>
      <w:r w:rsidR="00107958">
        <w:rPr>
          <w:sz w:val="22"/>
          <w:szCs w:val="28"/>
        </w:rPr>
        <w:t>“</w:t>
      </w:r>
      <w:r w:rsidR="001D46BC">
        <w:rPr>
          <w:sz w:val="22"/>
          <w:szCs w:val="28"/>
        </w:rPr>
        <w:t>consideramos que</w:t>
      </w:r>
      <w:r w:rsidR="00107958">
        <w:rPr>
          <w:sz w:val="22"/>
          <w:szCs w:val="28"/>
        </w:rPr>
        <w:t xml:space="preserve"> </w:t>
      </w:r>
      <w:r w:rsidR="00FA6F40">
        <w:rPr>
          <w:sz w:val="22"/>
          <w:szCs w:val="28"/>
        </w:rPr>
        <w:t>no son lo suficientement</w:t>
      </w:r>
      <w:r w:rsidR="00107958">
        <w:rPr>
          <w:sz w:val="22"/>
          <w:szCs w:val="28"/>
        </w:rPr>
        <w:t>e exhaustivos como para detectar las consecuencias del amianto”, según añade el presidente de Agavida.</w:t>
      </w:r>
    </w:p>
    <w:p w:rsidR="00151516" w:rsidRPr="002D5765" w:rsidRDefault="00151516" w:rsidP="00151516">
      <w:pPr>
        <w:jc w:val="both"/>
        <w:rPr>
          <w:rFonts w:cs="Arial"/>
          <w:sz w:val="22"/>
          <w:lang w:val="es-ES_tradnl" w:eastAsia="es-ES_tradnl"/>
        </w:rPr>
      </w:pPr>
    </w:p>
    <w:p w:rsidR="00925A43" w:rsidRDefault="00925A43" w:rsidP="00151516">
      <w:pPr>
        <w:pBdr>
          <w:bottom w:val="single" w:sz="6" w:space="1" w:color="auto"/>
        </w:pBdr>
        <w:jc w:val="both"/>
        <w:rPr>
          <w:rFonts w:cs="Arial"/>
          <w:sz w:val="22"/>
          <w:lang w:val="es-ES_tradnl" w:eastAsia="es-ES_tradnl"/>
        </w:rPr>
      </w:pPr>
      <w:r>
        <w:rPr>
          <w:rFonts w:cs="Arial"/>
          <w:b/>
          <w:sz w:val="22"/>
          <w:u w:val="single"/>
          <w:lang w:val="es-ES_tradnl" w:eastAsia="es-ES_tradnl"/>
        </w:rPr>
        <w:t>Qué es el amianto</w:t>
      </w:r>
      <w:r w:rsidR="00151516" w:rsidRPr="002D5765">
        <w:rPr>
          <w:rFonts w:cs="Arial"/>
          <w:sz w:val="22"/>
          <w:lang w:val="es-ES_tradnl" w:eastAsia="es-ES_tradnl"/>
        </w:rPr>
        <w:t xml:space="preserve"> </w:t>
      </w:r>
    </w:p>
    <w:p w:rsidR="00925A43" w:rsidRPr="00925A43" w:rsidRDefault="00925A43" w:rsidP="00151516">
      <w:pPr>
        <w:pBdr>
          <w:bottom w:val="single" w:sz="6" w:space="1" w:color="auto"/>
        </w:pBdr>
        <w:jc w:val="both"/>
        <w:rPr>
          <w:rFonts w:cs="Arial"/>
          <w:sz w:val="10"/>
          <w:szCs w:val="10"/>
          <w:lang w:val="es-ES_tradnl" w:eastAsia="es-ES_tradnl"/>
        </w:rPr>
      </w:pPr>
    </w:p>
    <w:p w:rsidR="00925A43" w:rsidRDefault="00151516" w:rsidP="00925A43">
      <w:pPr>
        <w:pBdr>
          <w:bottom w:val="single" w:sz="6" w:space="1" w:color="auto"/>
        </w:pBdr>
        <w:jc w:val="both"/>
        <w:rPr>
          <w:rFonts w:cs="Arial"/>
          <w:sz w:val="22"/>
          <w:lang w:val="es-ES_tradnl" w:eastAsia="es-ES_tradnl"/>
        </w:rPr>
      </w:pPr>
      <w:r w:rsidRPr="002D5765">
        <w:rPr>
          <w:rFonts w:cs="Arial"/>
          <w:sz w:val="22"/>
          <w:lang w:val="es-ES_tradnl" w:eastAsia="es-ES_tradnl"/>
        </w:rPr>
        <w:t>El amianto es una fibra de origen mineral que ha sido usada en un</w:t>
      </w:r>
      <w:r w:rsidR="00116E99">
        <w:rPr>
          <w:rFonts w:cs="Arial"/>
          <w:sz w:val="22"/>
          <w:lang w:val="es-ES_tradnl" w:eastAsia="es-ES_tradnl"/>
        </w:rPr>
        <w:t>a</w:t>
      </w:r>
      <w:r w:rsidRPr="002D5765">
        <w:rPr>
          <w:rFonts w:cs="Arial"/>
          <w:sz w:val="22"/>
          <w:lang w:val="es-ES_tradnl" w:eastAsia="es-ES_tradnl"/>
        </w:rPr>
        <w:t xml:space="preserve"> amplia var</w:t>
      </w:r>
      <w:r w:rsidR="00116E99">
        <w:rPr>
          <w:rFonts w:cs="Arial"/>
          <w:sz w:val="22"/>
          <w:lang w:val="es-ES_tradnl" w:eastAsia="es-ES_tradnl"/>
        </w:rPr>
        <w:t>iedad de productos, incluyendo</w:t>
      </w:r>
      <w:r w:rsidRPr="002D5765">
        <w:rPr>
          <w:rFonts w:cs="Arial"/>
          <w:sz w:val="22"/>
          <w:lang w:val="es-ES_tradnl" w:eastAsia="es-ES_tradnl"/>
        </w:rPr>
        <w:t xml:space="preserve"> los aislamientos de las viviendas y oficinas, dada su resistencia térmica y propiedades ignífugas que dicho material tiene. Se ha podido comprobar que a pesar de que el amianto tiene muchas cualidades útiles en la </w:t>
      </w:r>
      <w:r w:rsidR="00116E99">
        <w:rPr>
          <w:rFonts w:cs="Arial"/>
          <w:sz w:val="22"/>
          <w:lang w:val="es-ES_tradnl" w:eastAsia="es-ES_tradnl"/>
        </w:rPr>
        <w:t>construcción de edificios, miles</w:t>
      </w:r>
      <w:r w:rsidRPr="002D5765">
        <w:rPr>
          <w:rFonts w:cs="Arial"/>
          <w:sz w:val="22"/>
          <w:lang w:val="es-ES_tradnl" w:eastAsia="es-ES_tradnl"/>
        </w:rPr>
        <w:t xml:space="preserve"> de personas han fallecido como consecuencia de la inhalación de amianto. Se calcula que hasta 2030 morirán en España 50.000 personas por cáncer relacionado con el amianto ya que en España mueren cada año 1.200 personas. La exposición al amianto se ha reflejado como la causa probable de un gran número de enfermedades mortales como son la asbestosis y el mesotelioma</w:t>
      </w:r>
      <w:r w:rsidR="00102E56" w:rsidRPr="002D5765">
        <w:rPr>
          <w:rFonts w:cs="Arial"/>
          <w:sz w:val="22"/>
          <w:lang w:val="es-ES_tradnl" w:eastAsia="es-ES_tradnl"/>
        </w:rPr>
        <w:t>,</w:t>
      </w:r>
      <w:r w:rsidRPr="002D5765">
        <w:rPr>
          <w:rFonts w:cs="Arial"/>
          <w:sz w:val="22"/>
          <w:lang w:val="es-ES_tradnl" w:eastAsia="es-ES_tradnl"/>
        </w:rPr>
        <w:t xml:space="preserve"> que es un tipo de cáncer que se desarrolla en </w:t>
      </w:r>
      <w:r w:rsidR="00102E56" w:rsidRPr="002D5765">
        <w:rPr>
          <w:rFonts w:cs="Arial"/>
          <w:sz w:val="22"/>
          <w:lang w:val="es-ES_tradnl" w:eastAsia="es-ES_tradnl"/>
        </w:rPr>
        <w:t>la membrana que recubre los pulmones</w:t>
      </w:r>
      <w:r w:rsidRPr="002D5765">
        <w:rPr>
          <w:rFonts w:cs="Arial"/>
          <w:sz w:val="22"/>
          <w:lang w:val="es-ES_tradnl" w:eastAsia="es-ES_tradnl"/>
        </w:rPr>
        <w:t xml:space="preserve"> y en las cavidades abdominales. </w:t>
      </w:r>
    </w:p>
    <w:p w:rsidR="00925A43" w:rsidRDefault="00925A43" w:rsidP="00925A43">
      <w:pPr>
        <w:pBdr>
          <w:bottom w:val="single" w:sz="6" w:space="1" w:color="auto"/>
        </w:pBdr>
        <w:jc w:val="both"/>
        <w:rPr>
          <w:rFonts w:cs="Arial"/>
          <w:sz w:val="22"/>
          <w:lang w:val="es-ES_tradnl" w:eastAsia="es-ES_tradnl"/>
        </w:rPr>
      </w:pPr>
    </w:p>
    <w:p w:rsidR="00925A43" w:rsidRPr="002D5765" w:rsidRDefault="00925A43" w:rsidP="00925A43">
      <w:pPr>
        <w:pBdr>
          <w:bottom w:val="single" w:sz="6" w:space="1" w:color="auto"/>
        </w:pBdr>
        <w:jc w:val="both"/>
        <w:rPr>
          <w:rFonts w:cs="Arial"/>
          <w:sz w:val="22"/>
          <w:lang w:val="es-ES_tradnl" w:eastAsia="es-ES_tradnl"/>
        </w:rPr>
      </w:pPr>
      <w:r w:rsidRPr="002D5765">
        <w:rPr>
          <w:b/>
          <w:sz w:val="22"/>
          <w:szCs w:val="26"/>
          <w:u w:val="single"/>
          <w:lang w:val="es-ES_tradnl" w:eastAsia="es-ES_tradnl"/>
        </w:rPr>
        <w:t xml:space="preserve">SOBRE </w:t>
      </w:r>
      <w:r w:rsidRPr="002D5765">
        <w:rPr>
          <w:rFonts w:cs="Arial"/>
          <w:b/>
          <w:sz w:val="22"/>
          <w:u w:val="single"/>
          <w:lang w:val="es-ES_tradnl" w:eastAsia="es-ES_tradnl"/>
        </w:rPr>
        <w:t>Oria, Peña, Pajares &amp; Asociados</w:t>
      </w:r>
      <w:r>
        <w:rPr>
          <w:rFonts w:cs="Arial"/>
          <w:b/>
          <w:sz w:val="22"/>
          <w:u w:val="single"/>
          <w:lang w:val="es-ES_tradnl" w:eastAsia="es-ES_tradnl"/>
        </w:rPr>
        <w:t>.</w:t>
      </w:r>
      <w:r>
        <w:rPr>
          <w:rFonts w:cs="Arial"/>
          <w:sz w:val="22"/>
          <w:lang w:val="es-ES_tradnl" w:eastAsia="es-ES_tradnl"/>
        </w:rPr>
        <w:t xml:space="preserve"> E</w:t>
      </w:r>
      <w:r w:rsidRPr="002D5765">
        <w:rPr>
          <w:rFonts w:cs="Arial"/>
          <w:sz w:val="22"/>
          <w:lang w:val="es-ES_tradnl" w:eastAsia="es-ES_tradnl"/>
        </w:rPr>
        <w:t>s un despacho de abogados especiali</w:t>
      </w:r>
      <w:r>
        <w:rPr>
          <w:rFonts w:cs="Arial"/>
          <w:sz w:val="22"/>
          <w:lang w:val="es-ES_tradnl" w:eastAsia="es-ES_tradnl"/>
        </w:rPr>
        <w:t>zado</w:t>
      </w:r>
      <w:r w:rsidRPr="002D5765">
        <w:rPr>
          <w:rFonts w:cs="Arial"/>
          <w:sz w:val="22"/>
          <w:lang w:val="es-ES_tradnl" w:eastAsia="es-ES_tradnl"/>
        </w:rPr>
        <w:t xml:space="preserve"> en reclamaciones que tienen por objeto la búsqueda de la mejor compensación para los afectados por la exposición al amianto y sus familias. Con oficinas abiertas en Madrid y Zaragoza y gracias a la colaboración que mantienen con el despacho estadounidense Seeger Weiss SLP, cuenta con una larga trayectoria en lo que a  la obtención de indemnizaciones a nivel nacional e internacional se refiere.</w:t>
      </w:r>
    </w:p>
    <w:p w:rsidR="00925A43" w:rsidRPr="002D5765" w:rsidRDefault="00925A43" w:rsidP="00151516">
      <w:pPr>
        <w:pBdr>
          <w:bottom w:val="single" w:sz="6" w:space="1" w:color="auto"/>
        </w:pBdr>
        <w:jc w:val="both"/>
        <w:rPr>
          <w:rFonts w:cs="Arial"/>
          <w:sz w:val="22"/>
          <w:lang w:val="es-ES_tradnl" w:eastAsia="es-ES_tradnl"/>
        </w:rPr>
      </w:pPr>
    </w:p>
    <w:p w:rsidR="00A547AE" w:rsidRPr="002D5765" w:rsidRDefault="00A547AE" w:rsidP="00151516">
      <w:pPr>
        <w:jc w:val="both"/>
        <w:rPr>
          <w:rFonts w:cs="Arial"/>
          <w:sz w:val="22"/>
          <w:lang w:val="es-ES_tradnl" w:eastAsia="es-ES_tradnl"/>
        </w:rPr>
      </w:pPr>
    </w:p>
    <w:p w:rsidR="00A547AE" w:rsidRPr="002D5765" w:rsidRDefault="00050B92" w:rsidP="00151516">
      <w:pPr>
        <w:jc w:val="both"/>
        <w:rPr>
          <w:rFonts w:cs="Arial"/>
          <w:b/>
          <w:sz w:val="22"/>
          <w:u w:val="single"/>
          <w:lang w:val="es-ES_tradnl" w:eastAsia="es-ES_tradnl"/>
        </w:rPr>
      </w:pPr>
      <w:r w:rsidRPr="002D5765">
        <w:rPr>
          <w:rFonts w:cs="Arial"/>
          <w:b/>
          <w:sz w:val="22"/>
          <w:u w:val="single"/>
          <w:lang w:val="es-ES_tradnl" w:eastAsia="es-ES_tradnl"/>
        </w:rPr>
        <w:t xml:space="preserve">Responsable departamento de Comunicación </w:t>
      </w:r>
      <w:r w:rsidR="00A547AE" w:rsidRPr="002D5765">
        <w:rPr>
          <w:rFonts w:cs="Arial"/>
          <w:b/>
          <w:sz w:val="22"/>
          <w:u w:val="single"/>
          <w:lang w:val="es-ES_tradnl" w:eastAsia="es-ES_tradnl"/>
        </w:rPr>
        <w:t>Oria, Peña, Pajares y Asociados</w:t>
      </w:r>
    </w:p>
    <w:p w:rsidR="00A547AE" w:rsidRPr="002D5765" w:rsidRDefault="00A547AE" w:rsidP="00151516">
      <w:pPr>
        <w:jc w:val="both"/>
        <w:rPr>
          <w:rFonts w:cs="Arial"/>
          <w:sz w:val="22"/>
          <w:lang w:val="es-ES_tradnl" w:eastAsia="es-ES_tradnl"/>
        </w:rPr>
      </w:pPr>
      <w:r w:rsidRPr="002D5765">
        <w:rPr>
          <w:rFonts w:cs="Arial"/>
          <w:sz w:val="22"/>
          <w:lang w:val="es-ES_tradnl" w:eastAsia="es-ES_tradnl"/>
        </w:rPr>
        <w:t>Mercedes Gutiérrez</w:t>
      </w:r>
    </w:p>
    <w:p w:rsidR="00A547AE" w:rsidRPr="002D5765" w:rsidRDefault="00A547AE" w:rsidP="00151516">
      <w:pPr>
        <w:jc w:val="both"/>
        <w:rPr>
          <w:rFonts w:cs="Arial"/>
          <w:sz w:val="22"/>
          <w:lang w:val="es-ES_tradnl" w:eastAsia="es-ES_tradnl"/>
        </w:rPr>
      </w:pPr>
      <w:r w:rsidRPr="002D5765">
        <w:rPr>
          <w:rFonts w:cs="Arial"/>
          <w:sz w:val="22"/>
          <w:lang w:val="es-ES_tradnl" w:eastAsia="es-ES_tradnl"/>
        </w:rPr>
        <w:t>mercedes@yolandagil.com</w:t>
      </w:r>
    </w:p>
    <w:p w:rsidR="00A547AE" w:rsidRPr="002D5765" w:rsidRDefault="00A547AE" w:rsidP="00151516">
      <w:pPr>
        <w:jc w:val="both"/>
        <w:rPr>
          <w:sz w:val="22"/>
        </w:rPr>
      </w:pPr>
      <w:r w:rsidRPr="002D5765">
        <w:rPr>
          <w:rFonts w:cs="Arial"/>
          <w:sz w:val="22"/>
          <w:lang w:val="es-ES_tradnl" w:eastAsia="es-ES_tradnl"/>
        </w:rPr>
        <w:t>902 82 00 08 / 620 03 88 43</w:t>
      </w:r>
    </w:p>
    <w:sectPr w:rsidR="00A547AE" w:rsidRPr="002D5765" w:rsidSect="00BF1622">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42A" w:rsidRDefault="00B4342A">
      <w:r>
        <w:separator/>
      </w:r>
    </w:p>
  </w:endnote>
  <w:endnote w:type="continuationSeparator" w:id="0">
    <w:p w:rsidR="00B4342A" w:rsidRDefault="00B434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42A" w:rsidRDefault="00B4342A">
      <w:r>
        <w:separator/>
      </w:r>
    </w:p>
  </w:footnote>
  <w:footnote w:type="continuationSeparator" w:id="0">
    <w:p w:rsidR="00B4342A" w:rsidRDefault="00B43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C7" w:rsidRDefault="003246C7" w:rsidP="00151516">
    <w:pPr>
      <w:pStyle w:val="Encabezado"/>
      <w:tabs>
        <w:tab w:val="clear" w:pos="8504"/>
        <w:tab w:val="right" w:pos="9000"/>
      </w:tabs>
      <w:ind w:right="-496"/>
    </w:pPr>
    <w:r>
      <w:tab/>
    </w:r>
    <w:r>
      <w:tab/>
    </w:r>
    <w:r w:rsidR="001E696A">
      <w:rPr>
        <w:noProof/>
      </w:rPr>
      <w:drawing>
        <wp:inline distT="0" distB="0" distL="0" distR="0">
          <wp:extent cx="914400" cy="726440"/>
          <wp:effectExtent l="19050" t="0" r="0" b="0"/>
          <wp:docPr id="1" name="Imagen 1" descr="Descripción: Nue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Nuevo_Logo"/>
                  <pic:cNvPicPr>
                    <a:picLocks noChangeAspect="1" noChangeArrowheads="1"/>
                  </pic:cNvPicPr>
                </pic:nvPicPr>
                <pic:blipFill>
                  <a:blip r:embed="rId1"/>
                  <a:srcRect/>
                  <a:stretch>
                    <a:fillRect/>
                  </a:stretch>
                </pic:blipFill>
                <pic:spPr bwMode="auto">
                  <a:xfrm>
                    <a:off x="0" y="0"/>
                    <a:ext cx="914400" cy="7264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14D4"/>
    <w:multiLevelType w:val="hybridMultilevel"/>
    <w:tmpl w:val="8DB4DAC8"/>
    <w:lvl w:ilvl="0" w:tplc="0001040A">
      <w:start w:val="1"/>
      <w:numFmt w:val="bullet"/>
      <w:lvlText w:val=""/>
      <w:lvlJc w:val="left"/>
      <w:pPr>
        <w:tabs>
          <w:tab w:val="num" w:pos="720"/>
        </w:tabs>
        <w:ind w:left="720" w:hanging="360"/>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
    <w:nsid w:val="2F3A0F99"/>
    <w:multiLevelType w:val="hybridMultilevel"/>
    <w:tmpl w:val="4B36CF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6D516C7"/>
    <w:multiLevelType w:val="multilevel"/>
    <w:tmpl w:val="FE6AC6B4"/>
    <w:lvl w:ilvl="0">
      <w:start w:val="620"/>
      <w:numFmt w:val="decimal"/>
      <w:lvlText w:val="%1"/>
      <w:lvlJc w:val="left"/>
      <w:pPr>
        <w:tabs>
          <w:tab w:val="num" w:pos="1420"/>
        </w:tabs>
        <w:ind w:left="1420" w:hanging="1420"/>
      </w:pPr>
      <w:rPr>
        <w:rFonts w:hint="default"/>
      </w:rPr>
    </w:lvl>
    <w:lvl w:ilvl="1">
      <w:start w:val="38"/>
      <w:numFmt w:val="decimalZero"/>
      <w:lvlText w:val="%1.%2"/>
      <w:lvlJc w:val="left"/>
      <w:pPr>
        <w:tabs>
          <w:tab w:val="num" w:pos="1655"/>
        </w:tabs>
        <w:ind w:left="1655" w:hanging="1420"/>
      </w:pPr>
      <w:rPr>
        <w:rFonts w:hint="default"/>
      </w:rPr>
    </w:lvl>
    <w:lvl w:ilvl="2">
      <w:start w:val="812"/>
      <w:numFmt w:val="decimal"/>
      <w:lvlText w:val="%1.%2.%3"/>
      <w:lvlJc w:val="left"/>
      <w:pPr>
        <w:tabs>
          <w:tab w:val="num" w:pos="1890"/>
        </w:tabs>
        <w:ind w:left="1890" w:hanging="1420"/>
      </w:pPr>
      <w:rPr>
        <w:rFonts w:hint="default"/>
      </w:rPr>
    </w:lvl>
    <w:lvl w:ilvl="3">
      <w:start w:val="1"/>
      <w:numFmt w:val="decimal"/>
      <w:lvlText w:val="%1.%2.%3.%4"/>
      <w:lvlJc w:val="left"/>
      <w:pPr>
        <w:tabs>
          <w:tab w:val="num" w:pos="2125"/>
        </w:tabs>
        <w:ind w:left="2125" w:hanging="1420"/>
      </w:pPr>
      <w:rPr>
        <w:rFonts w:hint="default"/>
      </w:rPr>
    </w:lvl>
    <w:lvl w:ilvl="4">
      <w:start w:val="1"/>
      <w:numFmt w:val="decimal"/>
      <w:lvlText w:val="%1.%2.%3.%4.%5"/>
      <w:lvlJc w:val="left"/>
      <w:pPr>
        <w:tabs>
          <w:tab w:val="num" w:pos="2380"/>
        </w:tabs>
        <w:ind w:left="2380" w:hanging="1440"/>
      </w:pPr>
      <w:rPr>
        <w:rFonts w:hint="default"/>
      </w:rPr>
    </w:lvl>
    <w:lvl w:ilvl="5">
      <w:start w:val="1"/>
      <w:numFmt w:val="decimal"/>
      <w:lvlText w:val="%1.%2.%3.%4.%5.%6"/>
      <w:lvlJc w:val="left"/>
      <w:pPr>
        <w:tabs>
          <w:tab w:val="num" w:pos="2615"/>
        </w:tabs>
        <w:ind w:left="2615" w:hanging="1440"/>
      </w:pPr>
      <w:rPr>
        <w:rFonts w:hint="default"/>
      </w:rPr>
    </w:lvl>
    <w:lvl w:ilvl="6">
      <w:start w:val="1"/>
      <w:numFmt w:val="decimal"/>
      <w:lvlText w:val="%1.%2.%3.%4.%5.%6.%7"/>
      <w:lvlJc w:val="left"/>
      <w:pPr>
        <w:tabs>
          <w:tab w:val="num" w:pos="3210"/>
        </w:tabs>
        <w:ind w:left="3210" w:hanging="1800"/>
      </w:pPr>
      <w:rPr>
        <w:rFonts w:hint="default"/>
      </w:rPr>
    </w:lvl>
    <w:lvl w:ilvl="7">
      <w:start w:val="1"/>
      <w:numFmt w:val="decimal"/>
      <w:lvlText w:val="%1.%2.%3.%4.%5.%6.%7.%8"/>
      <w:lvlJc w:val="left"/>
      <w:pPr>
        <w:tabs>
          <w:tab w:val="num" w:pos="3805"/>
        </w:tabs>
        <w:ind w:left="3805" w:hanging="2160"/>
      </w:pPr>
      <w:rPr>
        <w:rFonts w:hint="default"/>
      </w:rPr>
    </w:lvl>
    <w:lvl w:ilvl="8">
      <w:start w:val="1"/>
      <w:numFmt w:val="decimal"/>
      <w:lvlText w:val="%1.%2.%3.%4.%5.%6.%7.%8.%9"/>
      <w:lvlJc w:val="left"/>
      <w:pPr>
        <w:tabs>
          <w:tab w:val="num" w:pos="4040"/>
        </w:tabs>
        <w:ind w:left="4040" w:hanging="2160"/>
      </w:pPr>
      <w:rPr>
        <w:rFonts w:hint="default"/>
      </w:rPr>
    </w:lvl>
  </w:abstractNum>
  <w:abstractNum w:abstractNumId="3">
    <w:nsid w:val="4E606E6C"/>
    <w:multiLevelType w:val="hybridMultilevel"/>
    <w:tmpl w:val="D74280C2"/>
    <w:lvl w:ilvl="0" w:tplc="0001040A">
      <w:start w:val="1"/>
      <w:numFmt w:val="bullet"/>
      <w:lvlText w:val=""/>
      <w:lvlJc w:val="left"/>
      <w:pPr>
        <w:tabs>
          <w:tab w:val="num" w:pos="720"/>
        </w:tabs>
        <w:ind w:left="720" w:hanging="360"/>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4">
    <w:nsid w:val="580629CA"/>
    <w:multiLevelType w:val="hybridMultilevel"/>
    <w:tmpl w:val="D638AA86"/>
    <w:lvl w:ilvl="0" w:tplc="0001040A">
      <w:start w:val="1"/>
      <w:numFmt w:val="bullet"/>
      <w:lvlText w:val=""/>
      <w:lvlJc w:val="left"/>
      <w:pPr>
        <w:tabs>
          <w:tab w:val="num" w:pos="1260"/>
        </w:tabs>
        <w:ind w:left="1260" w:hanging="360"/>
      </w:pPr>
      <w:rPr>
        <w:rFonts w:ascii="Symbol" w:hAnsi="Symbol" w:hint="default"/>
      </w:rPr>
    </w:lvl>
    <w:lvl w:ilvl="1" w:tplc="0003040A" w:tentative="1">
      <w:start w:val="1"/>
      <w:numFmt w:val="bullet"/>
      <w:lvlText w:val="o"/>
      <w:lvlJc w:val="left"/>
      <w:pPr>
        <w:tabs>
          <w:tab w:val="num" w:pos="1980"/>
        </w:tabs>
        <w:ind w:left="1980" w:hanging="360"/>
      </w:pPr>
      <w:rPr>
        <w:rFonts w:ascii="Courier New" w:hAnsi="Courier New" w:hint="default"/>
      </w:rPr>
    </w:lvl>
    <w:lvl w:ilvl="2" w:tplc="0005040A" w:tentative="1">
      <w:start w:val="1"/>
      <w:numFmt w:val="bullet"/>
      <w:lvlText w:val=""/>
      <w:lvlJc w:val="left"/>
      <w:pPr>
        <w:tabs>
          <w:tab w:val="num" w:pos="2700"/>
        </w:tabs>
        <w:ind w:left="2700" w:hanging="360"/>
      </w:pPr>
      <w:rPr>
        <w:rFonts w:ascii="Wingdings" w:hAnsi="Wingdings" w:hint="default"/>
      </w:rPr>
    </w:lvl>
    <w:lvl w:ilvl="3" w:tplc="0001040A" w:tentative="1">
      <w:start w:val="1"/>
      <w:numFmt w:val="bullet"/>
      <w:lvlText w:val=""/>
      <w:lvlJc w:val="left"/>
      <w:pPr>
        <w:tabs>
          <w:tab w:val="num" w:pos="3420"/>
        </w:tabs>
        <w:ind w:left="3420" w:hanging="360"/>
      </w:pPr>
      <w:rPr>
        <w:rFonts w:ascii="Symbol" w:hAnsi="Symbol" w:hint="default"/>
      </w:rPr>
    </w:lvl>
    <w:lvl w:ilvl="4" w:tplc="0003040A" w:tentative="1">
      <w:start w:val="1"/>
      <w:numFmt w:val="bullet"/>
      <w:lvlText w:val="o"/>
      <w:lvlJc w:val="left"/>
      <w:pPr>
        <w:tabs>
          <w:tab w:val="num" w:pos="4140"/>
        </w:tabs>
        <w:ind w:left="4140" w:hanging="360"/>
      </w:pPr>
      <w:rPr>
        <w:rFonts w:ascii="Courier New" w:hAnsi="Courier New" w:hint="default"/>
      </w:rPr>
    </w:lvl>
    <w:lvl w:ilvl="5" w:tplc="0005040A" w:tentative="1">
      <w:start w:val="1"/>
      <w:numFmt w:val="bullet"/>
      <w:lvlText w:val=""/>
      <w:lvlJc w:val="left"/>
      <w:pPr>
        <w:tabs>
          <w:tab w:val="num" w:pos="4860"/>
        </w:tabs>
        <w:ind w:left="4860" w:hanging="360"/>
      </w:pPr>
      <w:rPr>
        <w:rFonts w:ascii="Wingdings" w:hAnsi="Wingdings" w:hint="default"/>
      </w:rPr>
    </w:lvl>
    <w:lvl w:ilvl="6" w:tplc="0001040A" w:tentative="1">
      <w:start w:val="1"/>
      <w:numFmt w:val="bullet"/>
      <w:lvlText w:val=""/>
      <w:lvlJc w:val="left"/>
      <w:pPr>
        <w:tabs>
          <w:tab w:val="num" w:pos="5580"/>
        </w:tabs>
        <w:ind w:left="5580" w:hanging="360"/>
      </w:pPr>
      <w:rPr>
        <w:rFonts w:ascii="Symbol" w:hAnsi="Symbol" w:hint="default"/>
      </w:rPr>
    </w:lvl>
    <w:lvl w:ilvl="7" w:tplc="0003040A" w:tentative="1">
      <w:start w:val="1"/>
      <w:numFmt w:val="bullet"/>
      <w:lvlText w:val="o"/>
      <w:lvlJc w:val="left"/>
      <w:pPr>
        <w:tabs>
          <w:tab w:val="num" w:pos="6300"/>
        </w:tabs>
        <w:ind w:left="6300" w:hanging="360"/>
      </w:pPr>
      <w:rPr>
        <w:rFonts w:ascii="Courier New" w:hAnsi="Courier New" w:hint="default"/>
      </w:rPr>
    </w:lvl>
    <w:lvl w:ilvl="8" w:tplc="0005040A"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stylePaneFormatFilter w:val="3F01"/>
  <w:stylePaneSortMethod w:val="00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427857"/>
    <w:rsid w:val="00043379"/>
    <w:rsid w:val="00047562"/>
    <w:rsid w:val="00050B92"/>
    <w:rsid w:val="000A1D3E"/>
    <w:rsid w:val="00102E56"/>
    <w:rsid w:val="00107958"/>
    <w:rsid w:val="00116E99"/>
    <w:rsid w:val="00133F7E"/>
    <w:rsid w:val="00151516"/>
    <w:rsid w:val="001D46BC"/>
    <w:rsid w:val="001D69B9"/>
    <w:rsid w:val="001E696A"/>
    <w:rsid w:val="002D5765"/>
    <w:rsid w:val="00311E7C"/>
    <w:rsid w:val="003246C7"/>
    <w:rsid w:val="0033076A"/>
    <w:rsid w:val="003313BE"/>
    <w:rsid w:val="00331B16"/>
    <w:rsid w:val="00366E31"/>
    <w:rsid w:val="004107D4"/>
    <w:rsid w:val="00427857"/>
    <w:rsid w:val="004A5BD1"/>
    <w:rsid w:val="004E1394"/>
    <w:rsid w:val="00517E09"/>
    <w:rsid w:val="00582C28"/>
    <w:rsid w:val="00583095"/>
    <w:rsid w:val="005C7E1F"/>
    <w:rsid w:val="0060023A"/>
    <w:rsid w:val="00694A3E"/>
    <w:rsid w:val="006D5FD7"/>
    <w:rsid w:val="00731E93"/>
    <w:rsid w:val="0074274A"/>
    <w:rsid w:val="007B4DDD"/>
    <w:rsid w:val="00823087"/>
    <w:rsid w:val="00860824"/>
    <w:rsid w:val="0089283C"/>
    <w:rsid w:val="008A6A0D"/>
    <w:rsid w:val="0090002E"/>
    <w:rsid w:val="00925A43"/>
    <w:rsid w:val="00935B55"/>
    <w:rsid w:val="00984A7A"/>
    <w:rsid w:val="009D7C18"/>
    <w:rsid w:val="00A22D97"/>
    <w:rsid w:val="00A547AE"/>
    <w:rsid w:val="00B4342A"/>
    <w:rsid w:val="00B9559B"/>
    <w:rsid w:val="00BF1622"/>
    <w:rsid w:val="00E12883"/>
    <w:rsid w:val="00EB61C2"/>
    <w:rsid w:val="00EF4AB0"/>
    <w:rsid w:val="00F0084F"/>
    <w:rsid w:val="00F011FC"/>
    <w:rsid w:val="00FA6F40"/>
    <w:rsid w:val="00FE2089"/>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semiHidden="1"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
    <w:name w:val="Normal"/>
    <w:qFormat/>
    <w:rsid w:val="00BF162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27857"/>
    <w:pPr>
      <w:tabs>
        <w:tab w:val="center" w:pos="4252"/>
        <w:tab w:val="right" w:pos="8504"/>
      </w:tabs>
    </w:pPr>
  </w:style>
  <w:style w:type="paragraph" w:styleId="Piedepgina">
    <w:name w:val="footer"/>
    <w:basedOn w:val="Normal"/>
    <w:rsid w:val="00427857"/>
    <w:pPr>
      <w:tabs>
        <w:tab w:val="center" w:pos="4252"/>
        <w:tab w:val="right" w:pos="8504"/>
      </w:tabs>
    </w:pPr>
  </w:style>
  <w:style w:type="character" w:styleId="Hipervnculo">
    <w:name w:val="Hyperlink"/>
    <w:rsid w:val="00556CDF"/>
    <w:rPr>
      <w:color w:val="0000FF"/>
      <w:u w:val="single"/>
    </w:rPr>
  </w:style>
  <w:style w:type="character" w:styleId="Hipervnculovisitado">
    <w:name w:val="FollowedHyperlink"/>
    <w:rsid w:val="00556CDF"/>
    <w:rPr>
      <w:color w:val="800080"/>
      <w:u w:val="single"/>
    </w:rPr>
  </w:style>
  <w:style w:type="character" w:styleId="Refdecomentario">
    <w:name w:val="annotation reference"/>
    <w:semiHidden/>
    <w:rsid w:val="0014698C"/>
    <w:rPr>
      <w:sz w:val="16"/>
      <w:szCs w:val="16"/>
    </w:rPr>
  </w:style>
  <w:style w:type="paragraph" w:styleId="Textocomentario">
    <w:name w:val="annotation text"/>
    <w:basedOn w:val="Normal"/>
    <w:semiHidden/>
    <w:rsid w:val="0014698C"/>
    <w:rPr>
      <w:sz w:val="20"/>
      <w:szCs w:val="20"/>
    </w:rPr>
  </w:style>
  <w:style w:type="paragraph" w:styleId="Asuntodelcomentario">
    <w:name w:val="annotation subject"/>
    <w:basedOn w:val="Textocomentario"/>
    <w:next w:val="Textocomentario"/>
    <w:semiHidden/>
    <w:rsid w:val="0014698C"/>
    <w:rPr>
      <w:b/>
      <w:bCs/>
    </w:rPr>
  </w:style>
  <w:style w:type="paragraph" w:styleId="Textodeglobo">
    <w:name w:val="Balloon Text"/>
    <w:basedOn w:val="Normal"/>
    <w:semiHidden/>
    <w:rsid w:val="001469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5226</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ALMUERZO DE PRESENTACIÓN</vt:lpstr>
    </vt:vector>
  </TitlesOfParts>
  <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ALMUERZO DE PRESENTACIÓN</dc:title>
  <dc:creator>windows</dc:creator>
  <cp:lastModifiedBy>Andrea Peiró</cp:lastModifiedBy>
  <cp:revision>2</cp:revision>
  <cp:lastPrinted>2010-01-21T17:34:00Z</cp:lastPrinted>
  <dcterms:created xsi:type="dcterms:W3CDTF">2011-06-17T10:47:00Z</dcterms:created>
  <dcterms:modified xsi:type="dcterms:W3CDTF">2011-06-17T10:47:00Z</dcterms:modified>
</cp:coreProperties>
</file>